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7A" w:rsidRPr="002041D0" w:rsidRDefault="00AD1F72" w:rsidP="00CD577A">
      <w:pPr>
        <w:tabs>
          <w:tab w:val="left" w:pos="600"/>
        </w:tabs>
        <w:jc w:val="center"/>
        <w:rPr>
          <w:rFonts w:ascii="メイリオ" w:eastAsia="メイリオ" w:hAnsi="メイリオ"/>
          <w:b/>
          <w:bCs/>
          <w:sz w:val="18"/>
          <w:szCs w:val="21"/>
        </w:rPr>
      </w:pPr>
      <w:bookmarkStart w:id="0" w:name="_Ref129018864"/>
      <w:bookmarkStart w:id="1" w:name="_Toc176458491"/>
      <w:bookmarkStart w:id="2" w:name="_GoBack"/>
      <w:bookmarkEnd w:id="2"/>
      <w:r w:rsidRPr="002041D0">
        <w:rPr>
          <w:rFonts w:ascii="メイリオ" w:eastAsia="メイリオ" w:hAnsi="メイリオ" w:hint="eastAsia"/>
          <w:b/>
          <w:bCs/>
          <w:szCs w:val="21"/>
        </w:rPr>
        <w:t>融資</w:t>
      </w:r>
      <w:r w:rsidR="00CD577A" w:rsidRPr="002041D0">
        <w:rPr>
          <w:rFonts w:ascii="メイリオ" w:eastAsia="メイリオ" w:hAnsi="メイリオ" w:hint="eastAsia"/>
          <w:b/>
          <w:bCs/>
          <w:szCs w:val="21"/>
        </w:rPr>
        <w:t>契約書規定内容</w:t>
      </w:r>
      <w:r w:rsidRPr="002041D0">
        <w:rPr>
          <w:rFonts w:ascii="メイリオ" w:eastAsia="メイリオ" w:hAnsi="メイリオ" w:hint="eastAsia"/>
          <w:b/>
          <w:bCs/>
          <w:szCs w:val="21"/>
        </w:rPr>
        <w:t>ひな形</w:t>
      </w:r>
    </w:p>
    <w:p w:rsidR="0021204F" w:rsidRPr="002041D0" w:rsidRDefault="0021204F" w:rsidP="00CD577A">
      <w:pPr>
        <w:rPr>
          <w:rFonts w:ascii="メイリオ" w:eastAsia="メイリオ" w:hAnsi="メイリオ"/>
          <w:sz w:val="14"/>
          <w:szCs w:val="21"/>
        </w:rPr>
      </w:pPr>
    </w:p>
    <w:p w:rsidR="00A25D34" w:rsidRPr="002041D0" w:rsidRDefault="00A25D34" w:rsidP="00A25D34">
      <w:pPr>
        <w:pStyle w:val="a"/>
        <w:numPr>
          <w:ilvl w:val="0"/>
          <w:numId w:val="0"/>
        </w:numPr>
        <w:outlineLvl w:val="9"/>
        <w:rPr>
          <w:rFonts w:ascii="メイリオ" w:eastAsia="メイリオ" w:hAnsi="メイリオ"/>
          <w:sz w:val="18"/>
          <w:szCs w:val="21"/>
        </w:rPr>
      </w:pPr>
      <w:r w:rsidRPr="002041D0">
        <w:rPr>
          <w:rFonts w:ascii="メイリオ" w:eastAsia="メイリオ" w:hAnsi="メイリオ" w:hint="eastAsia"/>
          <w:sz w:val="18"/>
          <w:szCs w:val="21"/>
        </w:rPr>
        <w:t>第●条　　（【グリーンローン/ブルーローン/トランジションローン】）</w:t>
      </w:r>
      <w:bookmarkEnd w:id="0"/>
      <w:bookmarkEnd w:id="1"/>
      <w:r w:rsidRPr="002041D0">
        <w:rPr>
          <w:rFonts w:ascii="メイリオ" w:eastAsia="メイリオ" w:hAnsi="メイリオ" w:hint="eastAsia"/>
          <w:sz w:val="18"/>
          <w:szCs w:val="21"/>
        </w:rPr>
        <w:t>に関する規定</w:t>
      </w:r>
    </w:p>
    <w:p w:rsidR="00A25D34" w:rsidRPr="002041D0" w:rsidRDefault="00E72DD5" w:rsidP="00A25D34">
      <w:pPr>
        <w:pStyle w:val="a4"/>
        <w:numPr>
          <w:ilvl w:val="0"/>
          <w:numId w:val="2"/>
        </w:numPr>
        <w:tabs>
          <w:tab w:val="left" w:pos="600"/>
        </w:tabs>
        <w:rPr>
          <w:rFonts w:ascii="メイリオ" w:eastAsia="メイリオ" w:hAnsi="メイリオ"/>
          <w:sz w:val="18"/>
          <w:szCs w:val="21"/>
        </w:rPr>
      </w:pPr>
      <w:r w:rsidRPr="002041D0">
        <w:rPr>
          <w:rFonts w:ascii="メイリオ" w:eastAsia="メイリオ" w:hAnsi="メイリオ" w:hint="eastAsia"/>
          <w:sz w:val="18"/>
          <w:szCs w:val="21"/>
        </w:rPr>
        <w:t>銀行</w:t>
      </w:r>
      <w:r w:rsidR="00A25D34" w:rsidRPr="002041D0">
        <w:rPr>
          <w:rFonts w:ascii="メイリオ" w:eastAsia="メイリオ" w:hAnsi="メイリオ" w:hint="eastAsia"/>
          <w:sz w:val="18"/>
          <w:szCs w:val="21"/>
        </w:rPr>
        <w:t>は、</w:t>
      </w:r>
      <w:bookmarkStart w:id="3" w:name="_Hlk119708431"/>
      <w:r w:rsidR="00A25D34" w:rsidRPr="002041D0">
        <w:rPr>
          <w:rFonts w:ascii="メイリオ" w:eastAsia="メイリオ" w:hAnsi="メイリオ" w:hint="eastAsia"/>
          <w:sz w:val="18"/>
          <w:szCs w:val="21"/>
        </w:rPr>
        <w:t>本契約に基づく</w:t>
      </w:r>
      <w:r w:rsidR="00D42552" w:rsidRPr="002041D0">
        <w:rPr>
          <w:rFonts w:ascii="メイリオ" w:eastAsia="メイリオ" w:hAnsi="メイリオ" w:hint="eastAsia"/>
          <w:sz w:val="18"/>
          <w:szCs w:val="21"/>
        </w:rPr>
        <w:t>借入</w:t>
      </w:r>
      <w:r w:rsidR="00A25D34" w:rsidRPr="002041D0">
        <w:rPr>
          <w:rFonts w:ascii="メイリオ" w:eastAsia="メイリオ" w:hAnsi="メイリオ" w:hint="eastAsia"/>
          <w:sz w:val="18"/>
          <w:szCs w:val="21"/>
        </w:rPr>
        <w:t>が、</w:t>
      </w:r>
      <w:r w:rsidR="00D42552" w:rsidRPr="002041D0">
        <w:rPr>
          <w:rFonts w:ascii="メイリオ" w:eastAsia="メイリオ" w:hAnsi="メイリオ" w:hint="eastAsia"/>
          <w:sz w:val="18"/>
          <w:szCs w:val="21"/>
        </w:rPr>
        <w:t>「</w:t>
      </w:r>
      <w:r w:rsidR="0015535E" w:rsidRPr="002041D0">
        <w:rPr>
          <w:rFonts w:ascii="メイリオ" w:eastAsia="メイリオ" w:hAnsi="メイリオ" w:hint="eastAsia"/>
          <w:sz w:val="18"/>
          <w:szCs w:val="21"/>
        </w:rPr>
        <w:t>横浜港CNPサステナブルファイナンス・フレームワーク</w:t>
      </w:r>
      <w:r w:rsidR="00D42552" w:rsidRPr="002041D0">
        <w:rPr>
          <w:rFonts w:ascii="メイリオ" w:eastAsia="メイリオ" w:hAnsi="メイリオ" w:hint="eastAsia"/>
          <w:sz w:val="18"/>
          <w:szCs w:val="21"/>
        </w:rPr>
        <w:t>」</w:t>
      </w:r>
      <w:r w:rsidR="0015535E" w:rsidRPr="002041D0">
        <w:rPr>
          <w:rFonts w:ascii="メイリオ" w:eastAsia="メイリオ" w:hAnsi="メイリオ" w:hint="eastAsia"/>
          <w:sz w:val="18"/>
          <w:szCs w:val="21"/>
        </w:rPr>
        <w:t>に基づくものであり、</w:t>
      </w:r>
      <w:r w:rsidR="00A25D34" w:rsidRPr="002041D0">
        <w:rPr>
          <w:rFonts w:ascii="メイリオ" w:eastAsia="メイリオ" w:hAnsi="メイリオ" w:hint="eastAsia"/>
          <w:sz w:val="18"/>
          <w:szCs w:val="21"/>
        </w:rPr>
        <w:t>DNVビジネス・アシュアランス・ジャパン株式会社から発行される、Loan Market Association、Asia Pacific Loan Market AssociationおよびLoan Syndications and Trading Associationが発表したグリーンローン原則</w:t>
      </w:r>
      <w:r w:rsidR="008B44E2" w:rsidRPr="002041D0">
        <w:rPr>
          <w:rFonts w:ascii="メイリオ" w:eastAsia="メイリオ" w:hAnsi="メイリオ" w:hint="eastAsia"/>
          <w:sz w:val="18"/>
          <w:szCs w:val="21"/>
        </w:rPr>
        <w:t>、</w:t>
      </w:r>
      <w:r w:rsidR="00A25D34" w:rsidRPr="002041D0">
        <w:rPr>
          <w:rFonts w:ascii="メイリオ" w:eastAsia="メイリオ" w:hAnsi="メイリオ" w:hint="eastAsia"/>
          <w:sz w:val="18"/>
          <w:szCs w:val="21"/>
        </w:rPr>
        <w:t>環境省が発表したグリーンローンガイドライン</w:t>
      </w:r>
      <w:r w:rsidR="008B44E2" w:rsidRPr="002041D0">
        <w:rPr>
          <w:rFonts w:ascii="メイリオ" w:eastAsia="メイリオ" w:hAnsi="メイリオ" w:hint="eastAsia"/>
          <w:sz w:val="18"/>
          <w:szCs w:val="21"/>
        </w:rPr>
        <w:t>、International Finance Corporationが発表したブルーファイナンスガイドライン、</w:t>
      </w:r>
      <w:r w:rsidR="005F0EE7" w:rsidRPr="002041D0">
        <w:rPr>
          <w:rFonts w:ascii="メイリオ" w:eastAsia="メイリオ" w:hAnsi="メイリオ" w:hint="eastAsia"/>
          <w:sz w:val="18"/>
          <w:szCs w:val="21"/>
        </w:rPr>
        <w:t xml:space="preserve">International Capital Market Association 、United Nations Environment </w:t>
      </w:r>
      <w:proofErr w:type="spellStart"/>
      <w:r w:rsidR="005F0EE7" w:rsidRPr="002041D0">
        <w:rPr>
          <w:rFonts w:ascii="メイリオ" w:eastAsia="メイリオ" w:hAnsi="メイリオ" w:hint="eastAsia"/>
          <w:sz w:val="18"/>
          <w:szCs w:val="21"/>
        </w:rPr>
        <w:t>Programme</w:t>
      </w:r>
      <w:proofErr w:type="spellEnd"/>
      <w:r w:rsidR="005F0EE7" w:rsidRPr="002041D0">
        <w:rPr>
          <w:rFonts w:ascii="メイリオ" w:eastAsia="メイリオ" w:hAnsi="メイリオ" w:hint="eastAsia"/>
          <w:sz w:val="18"/>
          <w:szCs w:val="21"/>
        </w:rPr>
        <w:t xml:space="preserve"> Finance Initiative、United Nations Global CompactおよびAsia Development Bankが発表した持続可能なブルーエコノミーに資金提供する債券（実務者ガイド）、</w:t>
      </w:r>
      <w:r w:rsidR="00A25D34" w:rsidRPr="002041D0">
        <w:rPr>
          <w:rFonts w:ascii="メイリオ" w:eastAsia="メイリオ" w:hAnsi="メイリオ" w:hint="eastAsia"/>
          <w:sz w:val="18"/>
          <w:szCs w:val="21"/>
        </w:rPr>
        <w:t>International Capital Market Associationの策定するクライメート・トランジション・ファイナンスハンドブック</w:t>
      </w:r>
      <w:r w:rsidR="008B44E2" w:rsidRPr="002041D0">
        <w:rPr>
          <w:rFonts w:ascii="メイリオ" w:eastAsia="メイリオ" w:hAnsi="メイリオ" w:hint="eastAsia"/>
          <w:sz w:val="18"/>
          <w:szCs w:val="21"/>
        </w:rPr>
        <w:t>および</w:t>
      </w:r>
      <w:r w:rsidR="00A25D34" w:rsidRPr="002041D0">
        <w:rPr>
          <w:rFonts w:ascii="メイリオ" w:eastAsia="メイリオ" w:hAnsi="メイリオ" w:hint="eastAsia"/>
          <w:sz w:val="18"/>
          <w:szCs w:val="21"/>
        </w:rPr>
        <w:t>金融庁・経済産業省・環境省が公表するクライメート・トランジション・ファイナンスに関する基本指針</w:t>
      </w:r>
      <w:r w:rsidR="0015535E" w:rsidRPr="002041D0">
        <w:rPr>
          <w:rFonts w:ascii="メイリオ" w:eastAsia="メイリオ" w:hAnsi="メイリオ" w:hint="eastAsia"/>
          <w:sz w:val="18"/>
          <w:szCs w:val="21"/>
        </w:rPr>
        <w:t>】</w:t>
      </w:r>
      <w:r w:rsidR="00A25D34" w:rsidRPr="002041D0">
        <w:rPr>
          <w:rFonts w:ascii="メイリオ" w:eastAsia="メイリオ" w:hAnsi="メイリオ" w:hint="eastAsia"/>
          <w:sz w:val="18"/>
          <w:szCs w:val="21"/>
        </w:rPr>
        <w:t>に準拠した【グリーンローン/ブルーローン/トランジションローン】である旨の評価の対象となるものである</w:t>
      </w:r>
      <w:bookmarkEnd w:id="3"/>
      <w:r w:rsidR="00A25D34" w:rsidRPr="002041D0">
        <w:rPr>
          <w:rFonts w:ascii="メイリオ" w:eastAsia="メイリオ" w:hAnsi="メイリオ" w:hint="eastAsia"/>
          <w:sz w:val="18"/>
          <w:szCs w:val="21"/>
        </w:rPr>
        <w:t>ことを確認</w:t>
      </w:r>
      <w:r w:rsidR="00D42552" w:rsidRPr="002041D0">
        <w:rPr>
          <w:rFonts w:ascii="メイリオ" w:eastAsia="メイリオ" w:hAnsi="メイリオ" w:hint="eastAsia"/>
          <w:sz w:val="18"/>
          <w:szCs w:val="21"/>
        </w:rPr>
        <w:t>します</w:t>
      </w:r>
      <w:r w:rsidR="00A25D34" w:rsidRPr="002041D0">
        <w:rPr>
          <w:rFonts w:ascii="メイリオ" w:eastAsia="メイリオ" w:hAnsi="メイリオ" w:hint="eastAsia"/>
          <w:sz w:val="18"/>
          <w:szCs w:val="21"/>
        </w:rPr>
        <w:t>。</w:t>
      </w:r>
    </w:p>
    <w:p w:rsidR="00A25D34" w:rsidRPr="002041D0" w:rsidRDefault="00D42552" w:rsidP="00F90F1F">
      <w:pPr>
        <w:pStyle w:val="a4"/>
        <w:numPr>
          <w:ilvl w:val="0"/>
          <w:numId w:val="2"/>
        </w:numPr>
        <w:tabs>
          <w:tab w:val="left" w:pos="600"/>
        </w:tabs>
        <w:rPr>
          <w:rFonts w:ascii="メイリオ" w:eastAsia="メイリオ" w:hAnsi="メイリオ"/>
          <w:sz w:val="18"/>
          <w:szCs w:val="21"/>
        </w:rPr>
      </w:pPr>
      <w:r w:rsidRPr="002041D0">
        <w:rPr>
          <w:rFonts w:ascii="メイリオ" w:eastAsia="メイリオ" w:hAnsi="メイリオ" w:hint="eastAsia"/>
          <w:sz w:val="18"/>
          <w:szCs w:val="21"/>
        </w:rPr>
        <w:t>債務者</w:t>
      </w:r>
      <w:r w:rsidR="00A25D34" w:rsidRPr="002041D0">
        <w:rPr>
          <w:rFonts w:ascii="メイリオ" w:eastAsia="メイリオ" w:hAnsi="メイリオ" w:hint="eastAsia"/>
          <w:sz w:val="18"/>
          <w:szCs w:val="21"/>
        </w:rPr>
        <w:t>は、</w:t>
      </w:r>
      <w:r w:rsidR="00AB2BA0" w:rsidRPr="002041D0">
        <w:rPr>
          <w:rFonts w:ascii="メイリオ" w:eastAsia="メイリオ" w:hAnsi="メイリオ" w:hint="eastAsia"/>
          <w:sz w:val="18"/>
          <w:szCs w:val="21"/>
        </w:rPr>
        <w:t>本</w:t>
      </w:r>
      <w:r w:rsidR="008B44E2" w:rsidRPr="002041D0">
        <w:rPr>
          <w:rFonts w:ascii="メイリオ" w:eastAsia="メイリオ" w:hAnsi="メイリオ" w:hint="eastAsia"/>
          <w:sz w:val="18"/>
          <w:szCs w:val="21"/>
        </w:rPr>
        <w:t>契約締結日</w:t>
      </w:r>
      <w:r w:rsidR="00A25D34" w:rsidRPr="002041D0">
        <w:rPr>
          <w:rFonts w:ascii="メイリオ" w:eastAsia="メイリオ" w:hAnsi="メイリオ" w:hint="eastAsia"/>
          <w:sz w:val="18"/>
          <w:szCs w:val="21"/>
        </w:rPr>
        <w:t>以降、</w:t>
      </w:r>
      <w:r w:rsidR="00CD577A" w:rsidRPr="002041D0">
        <w:rPr>
          <w:rFonts w:ascii="メイリオ" w:eastAsia="メイリオ" w:hAnsi="メイリオ" w:hint="eastAsia"/>
          <w:sz w:val="18"/>
          <w:szCs w:val="21"/>
        </w:rPr>
        <w:t>本契約に基づき</w:t>
      </w:r>
      <w:r w:rsidR="00A25D34" w:rsidRPr="002041D0">
        <w:rPr>
          <w:rFonts w:ascii="メイリオ" w:eastAsia="メイリオ" w:hAnsi="メイリオ" w:hint="eastAsia"/>
          <w:sz w:val="18"/>
          <w:szCs w:val="21"/>
        </w:rPr>
        <w:t>調達した</w:t>
      </w:r>
      <w:r w:rsidRPr="002041D0">
        <w:rPr>
          <w:rFonts w:ascii="メイリオ" w:eastAsia="メイリオ" w:hAnsi="メイリオ" w:hint="eastAsia"/>
          <w:sz w:val="18"/>
          <w:szCs w:val="21"/>
        </w:rPr>
        <w:t>資金</w:t>
      </w:r>
      <w:r w:rsidR="00A25D34" w:rsidRPr="002041D0">
        <w:rPr>
          <w:rFonts w:ascii="メイリオ" w:eastAsia="メイリオ" w:hAnsi="メイリオ" w:hint="eastAsia"/>
          <w:sz w:val="18"/>
          <w:szCs w:val="21"/>
        </w:rPr>
        <w:t>の全額を</w:t>
      </w:r>
      <w:r w:rsidRPr="002041D0">
        <w:rPr>
          <w:rFonts w:ascii="メイリオ" w:eastAsia="メイリオ" w:hAnsi="メイリオ" w:hint="eastAsia"/>
          <w:sz w:val="18"/>
          <w:szCs w:val="21"/>
        </w:rPr>
        <w:t>、本契約</w:t>
      </w:r>
      <w:r w:rsidR="00A25D34" w:rsidRPr="002041D0">
        <w:rPr>
          <w:rFonts w:ascii="メイリオ" w:eastAsia="メイリオ" w:hAnsi="メイリオ" w:hint="eastAsia"/>
          <w:sz w:val="18"/>
          <w:szCs w:val="21"/>
        </w:rPr>
        <w:t>に定める資金使途</w:t>
      </w:r>
      <w:r w:rsidRPr="002041D0">
        <w:rPr>
          <w:rFonts w:ascii="メイリオ" w:eastAsia="メイリオ" w:hAnsi="メイリオ" w:hint="eastAsia"/>
          <w:sz w:val="18"/>
          <w:szCs w:val="21"/>
        </w:rPr>
        <w:t>（●●）</w:t>
      </w:r>
      <w:r w:rsidR="00A25D34" w:rsidRPr="002041D0">
        <w:rPr>
          <w:rFonts w:ascii="メイリオ" w:eastAsia="メイリオ" w:hAnsi="メイリオ" w:hint="eastAsia"/>
          <w:sz w:val="18"/>
          <w:szCs w:val="21"/>
        </w:rPr>
        <w:t>に充当した場合には、【速やかに/●営業日後までに/翌月末までに</w:t>
      </w:r>
      <w:r w:rsidR="00F90F1F" w:rsidRPr="002041D0">
        <w:rPr>
          <w:rFonts w:ascii="メイリオ" w:eastAsia="メイリオ" w:hAnsi="メイリオ" w:hint="eastAsia"/>
          <w:sz w:val="18"/>
          <w:szCs w:val="21"/>
        </w:rPr>
        <w:t>（該当日が営業日以外の日に当たるときは、翌営業日）</w:t>
      </w:r>
      <w:r w:rsidR="00A25D34" w:rsidRPr="002041D0">
        <w:rPr>
          <w:rFonts w:ascii="メイリオ" w:eastAsia="メイリオ" w:hAnsi="メイリオ" w:hint="eastAsia"/>
          <w:sz w:val="18"/>
          <w:szCs w:val="21"/>
        </w:rPr>
        <w:t>】、別紙◆</w:t>
      </w:r>
      <w:r w:rsidRPr="002041D0">
        <w:rPr>
          <w:rFonts w:ascii="メイリオ" w:eastAsia="メイリオ" w:hAnsi="メイリオ" w:hint="eastAsia"/>
          <w:sz w:val="18"/>
          <w:szCs w:val="21"/>
        </w:rPr>
        <w:t>その他銀行が指定する様式</w:t>
      </w:r>
      <w:r w:rsidR="00A25D34" w:rsidRPr="002041D0">
        <w:rPr>
          <w:rFonts w:ascii="メイリオ" w:eastAsia="メイリオ" w:hAnsi="メイリオ" w:hint="eastAsia"/>
          <w:sz w:val="18"/>
          <w:szCs w:val="21"/>
        </w:rPr>
        <w:t>を</w:t>
      </w:r>
      <w:r w:rsidRPr="002041D0">
        <w:rPr>
          <w:rFonts w:ascii="メイリオ" w:eastAsia="メイリオ" w:hAnsi="メイリオ" w:hint="eastAsia"/>
          <w:sz w:val="18"/>
          <w:szCs w:val="21"/>
        </w:rPr>
        <w:t>使用して</w:t>
      </w:r>
      <w:r w:rsidR="00E72DD5" w:rsidRPr="002041D0">
        <w:rPr>
          <w:rFonts w:ascii="メイリオ" w:eastAsia="メイリオ" w:hAnsi="メイリオ" w:hint="eastAsia"/>
          <w:sz w:val="18"/>
          <w:szCs w:val="21"/>
        </w:rPr>
        <w:t>銀行</w:t>
      </w:r>
      <w:r w:rsidR="00A25D34" w:rsidRPr="002041D0">
        <w:rPr>
          <w:rFonts w:ascii="メイリオ" w:eastAsia="メイリオ" w:hAnsi="メイリオ" w:hint="eastAsia"/>
          <w:sz w:val="18"/>
          <w:szCs w:val="21"/>
        </w:rPr>
        <w:t>に全額充当</w:t>
      </w:r>
      <w:r w:rsidRPr="002041D0">
        <w:rPr>
          <w:rFonts w:ascii="メイリオ" w:eastAsia="メイリオ" w:hAnsi="メイリオ" w:hint="eastAsia"/>
          <w:sz w:val="18"/>
          <w:szCs w:val="21"/>
        </w:rPr>
        <w:t>完了</w:t>
      </w:r>
      <w:r w:rsidR="00A25D34" w:rsidRPr="002041D0">
        <w:rPr>
          <w:rFonts w:ascii="メイリオ" w:eastAsia="メイリオ" w:hAnsi="メイリオ" w:hint="eastAsia"/>
          <w:sz w:val="18"/>
          <w:szCs w:val="21"/>
        </w:rPr>
        <w:t>報告</w:t>
      </w:r>
      <w:r w:rsidRPr="002041D0">
        <w:rPr>
          <w:rFonts w:ascii="メイリオ" w:eastAsia="メイリオ" w:hAnsi="メイリオ" w:hint="eastAsia"/>
          <w:sz w:val="18"/>
          <w:szCs w:val="21"/>
        </w:rPr>
        <w:t>（以下「全額充当完了報告」といいます）</w:t>
      </w:r>
      <w:r w:rsidR="00A25D34" w:rsidRPr="002041D0">
        <w:rPr>
          <w:rFonts w:ascii="メイリオ" w:eastAsia="メイリオ" w:hAnsi="メイリオ" w:hint="eastAsia"/>
          <w:sz w:val="18"/>
          <w:szCs w:val="21"/>
        </w:rPr>
        <w:t>を行うものと</w:t>
      </w:r>
      <w:r w:rsidRPr="002041D0">
        <w:rPr>
          <w:rFonts w:ascii="メイリオ" w:eastAsia="メイリオ" w:hAnsi="メイリオ" w:hint="eastAsia"/>
          <w:sz w:val="18"/>
          <w:szCs w:val="21"/>
        </w:rPr>
        <w:t>します</w:t>
      </w:r>
      <w:r w:rsidR="00A25D34" w:rsidRPr="002041D0">
        <w:rPr>
          <w:rFonts w:ascii="メイリオ" w:eastAsia="メイリオ" w:hAnsi="メイリオ" w:hint="eastAsia"/>
          <w:sz w:val="18"/>
          <w:szCs w:val="21"/>
        </w:rPr>
        <w:t>。</w:t>
      </w:r>
    </w:p>
    <w:p w:rsidR="00A25D34" w:rsidRPr="002041D0" w:rsidRDefault="00D42552" w:rsidP="008E1E2E">
      <w:pPr>
        <w:pStyle w:val="a4"/>
        <w:numPr>
          <w:ilvl w:val="0"/>
          <w:numId w:val="2"/>
        </w:numPr>
        <w:tabs>
          <w:tab w:val="left" w:pos="600"/>
        </w:tabs>
        <w:rPr>
          <w:rFonts w:ascii="メイリオ" w:eastAsia="メイリオ" w:hAnsi="メイリオ"/>
          <w:sz w:val="18"/>
          <w:szCs w:val="21"/>
        </w:rPr>
      </w:pPr>
      <w:r w:rsidRPr="002041D0">
        <w:rPr>
          <w:rFonts w:ascii="メイリオ" w:eastAsia="メイリオ" w:hAnsi="メイリオ" w:hint="eastAsia"/>
          <w:sz w:val="18"/>
          <w:szCs w:val="21"/>
        </w:rPr>
        <w:t>債務者</w:t>
      </w:r>
      <w:r w:rsidR="00A25D34" w:rsidRPr="002041D0">
        <w:rPr>
          <w:rFonts w:ascii="メイリオ" w:eastAsia="メイリオ" w:hAnsi="メイリオ" w:hint="eastAsia"/>
          <w:sz w:val="18"/>
          <w:szCs w:val="21"/>
        </w:rPr>
        <w:t>は、</w:t>
      </w:r>
      <w:r w:rsidR="00AB2BA0" w:rsidRPr="002041D0">
        <w:rPr>
          <w:rFonts w:ascii="メイリオ" w:eastAsia="メイリオ" w:hAnsi="メイリオ" w:hint="eastAsia"/>
          <w:sz w:val="18"/>
          <w:szCs w:val="21"/>
        </w:rPr>
        <w:t>本</w:t>
      </w:r>
      <w:r w:rsidR="008B44E2" w:rsidRPr="002041D0">
        <w:rPr>
          <w:rFonts w:ascii="メイリオ" w:eastAsia="メイリオ" w:hAnsi="メイリオ" w:hint="eastAsia"/>
          <w:sz w:val="18"/>
          <w:szCs w:val="21"/>
        </w:rPr>
        <w:t>契約締結日</w:t>
      </w:r>
      <w:r w:rsidR="00A25D34" w:rsidRPr="002041D0">
        <w:rPr>
          <w:rFonts w:ascii="メイリオ" w:eastAsia="メイリオ" w:hAnsi="メイリオ" w:hint="eastAsia"/>
          <w:sz w:val="18"/>
          <w:szCs w:val="21"/>
        </w:rPr>
        <w:t>以降、全額充当</w:t>
      </w:r>
      <w:r w:rsidRPr="002041D0">
        <w:rPr>
          <w:rFonts w:ascii="メイリオ" w:eastAsia="メイリオ" w:hAnsi="メイリオ" w:hint="eastAsia"/>
          <w:sz w:val="18"/>
          <w:szCs w:val="21"/>
        </w:rPr>
        <w:t>完了</w:t>
      </w:r>
      <w:r w:rsidR="00A25D34" w:rsidRPr="002041D0">
        <w:rPr>
          <w:rFonts w:ascii="メイリオ" w:eastAsia="メイリオ" w:hAnsi="メイリオ" w:hint="eastAsia"/>
          <w:sz w:val="18"/>
          <w:szCs w:val="21"/>
        </w:rPr>
        <w:t>報告を行うまで、</w:t>
      </w:r>
      <w:r w:rsidRPr="002041D0">
        <w:rPr>
          <w:rFonts w:ascii="メイリオ" w:eastAsia="メイリオ" w:hAnsi="メイリオ" w:hint="eastAsia"/>
          <w:sz w:val="18"/>
          <w:szCs w:val="21"/>
        </w:rPr>
        <w:t>本契約に基づき調達した資金の本契約に定める資金使途への</w:t>
      </w:r>
      <w:r w:rsidR="00A25D34" w:rsidRPr="002041D0">
        <w:rPr>
          <w:rFonts w:ascii="メイリオ" w:eastAsia="メイリオ" w:hAnsi="メイリオ" w:hint="eastAsia"/>
          <w:sz w:val="18"/>
          <w:szCs w:val="21"/>
        </w:rPr>
        <w:t>充当状況について、毎年●月●日</w:t>
      </w:r>
      <w:r w:rsidRPr="002041D0">
        <w:rPr>
          <w:rFonts w:ascii="メイリオ" w:eastAsia="メイリオ" w:hAnsi="メイリオ" w:hint="eastAsia"/>
          <w:sz w:val="18"/>
          <w:szCs w:val="21"/>
        </w:rPr>
        <w:t>（該当日が休日に当たるときは、【前営業日/翌営業日】）</w:t>
      </w:r>
      <w:r w:rsidR="00A25D34" w:rsidRPr="002041D0">
        <w:rPr>
          <w:rFonts w:ascii="メイリオ" w:eastAsia="メイリオ" w:hAnsi="メイリオ" w:hint="eastAsia"/>
          <w:sz w:val="18"/>
          <w:szCs w:val="21"/>
        </w:rPr>
        <w:t>までに</w:t>
      </w:r>
      <w:r w:rsidRPr="002041D0">
        <w:rPr>
          <w:rFonts w:ascii="メイリオ" w:eastAsia="メイリオ" w:hAnsi="メイリオ" w:hint="eastAsia"/>
          <w:sz w:val="18"/>
          <w:szCs w:val="21"/>
        </w:rPr>
        <w:t>別紙その他銀行が指定する様式を使用して</w:t>
      </w:r>
      <w:r w:rsidR="00E72DD5" w:rsidRPr="002041D0">
        <w:rPr>
          <w:rFonts w:ascii="メイリオ" w:eastAsia="メイリオ" w:hAnsi="メイリオ" w:hint="eastAsia"/>
          <w:sz w:val="18"/>
          <w:szCs w:val="21"/>
        </w:rPr>
        <w:t>銀行</w:t>
      </w:r>
      <w:r w:rsidR="00A25D34" w:rsidRPr="002041D0">
        <w:rPr>
          <w:rFonts w:ascii="メイリオ" w:eastAsia="メイリオ" w:hAnsi="メイリオ" w:hint="eastAsia"/>
          <w:sz w:val="18"/>
          <w:szCs w:val="21"/>
        </w:rPr>
        <w:t>に報告</w:t>
      </w:r>
      <w:r w:rsidRPr="002041D0">
        <w:rPr>
          <w:rFonts w:ascii="メイリオ" w:eastAsia="メイリオ" w:hAnsi="メイリオ" w:hint="eastAsia"/>
          <w:sz w:val="18"/>
          <w:szCs w:val="21"/>
        </w:rPr>
        <w:t>します</w:t>
      </w:r>
      <w:r w:rsidR="00A25D34" w:rsidRPr="002041D0">
        <w:rPr>
          <w:rFonts w:ascii="メイリオ" w:eastAsia="メイリオ" w:hAnsi="メイリオ" w:hint="eastAsia"/>
          <w:sz w:val="18"/>
          <w:szCs w:val="21"/>
        </w:rPr>
        <w:t>。</w:t>
      </w:r>
    </w:p>
    <w:p w:rsidR="00A25D34" w:rsidRPr="002041D0" w:rsidRDefault="00D42552" w:rsidP="00CD6AAC">
      <w:pPr>
        <w:pStyle w:val="a4"/>
        <w:numPr>
          <w:ilvl w:val="0"/>
          <w:numId w:val="2"/>
        </w:numPr>
        <w:tabs>
          <w:tab w:val="left" w:pos="600"/>
        </w:tabs>
        <w:rPr>
          <w:rFonts w:ascii="メイリオ" w:eastAsia="メイリオ" w:hAnsi="メイリオ"/>
          <w:b/>
          <w:bCs/>
          <w:sz w:val="18"/>
          <w:szCs w:val="21"/>
        </w:rPr>
      </w:pPr>
      <w:r w:rsidRPr="002041D0">
        <w:rPr>
          <w:rFonts w:ascii="メイリオ" w:eastAsia="メイリオ" w:hAnsi="メイリオ" w:hint="eastAsia"/>
          <w:sz w:val="18"/>
          <w:szCs w:val="21"/>
        </w:rPr>
        <w:t>債務者</w:t>
      </w:r>
      <w:r w:rsidR="00A25D34" w:rsidRPr="002041D0">
        <w:rPr>
          <w:rFonts w:ascii="メイリオ" w:eastAsia="メイリオ" w:hAnsi="メイリオ" w:hint="eastAsia"/>
          <w:sz w:val="18"/>
          <w:szCs w:val="21"/>
        </w:rPr>
        <w:t>は、本契約締結日以降、</w:t>
      </w:r>
      <w:r w:rsidRPr="002041D0">
        <w:rPr>
          <w:rFonts w:ascii="メイリオ" w:eastAsia="メイリオ" w:hAnsi="メイリオ" w:hint="eastAsia"/>
          <w:sz w:val="18"/>
          <w:szCs w:val="21"/>
        </w:rPr>
        <w:t>本契約に基づき調達した資金による環境改善効果としての</w:t>
      </w:r>
      <w:r w:rsidR="00CD6AAC" w:rsidRPr="002041D0">
        <w:rPr>
          <w:rFonts w:ascii="メイリオ" w:eastAsia="メイリオ" w:hAnsi="メイリオ" w:hint="eastAsia"/>
          <w:sz w:val="18"/>
          <w:szCs w:val="21"/>
        </w:rPr>
        <w:t>当該資金を活用したプロジェクトにおけるCO2排出削減効果およびその算出根拠について、初回は全額充当完了報告の有無にかかわらず●年●月●日までに、それ以降は全額充当完了報告を行うまで</w:t>
      </w:r>
      <w:r w:rsidR="00A25D34" w:rsidRPr="002041D0">
        <w:rPr>
          <w:rFonts w:ascii="メイリオ" w:eastAsia="メイリオ" w:hAnsi="メイリオ" w:hint="eastAsia"/>
          <w:sz w:val="18"/>
          <w:szCs w:val="21"/>
        </w:rPr>
        <w:t>毎年●月</w:t>
      </w:r>
      <w:r w:rsidR="00241ED4" w:rsidRPr="002041D0">
        <w:rPr>
          <w:rFonts w:ascii="メイリオ" w:eastAsia="メイリオ" w:hAnsi="メイリオ" w:hint="eastAsia"/>
          <w:sz w:val="18"/>
          <w:szCs w:val="21"/>
        </w:rPr>
        <w:t>●日</w:t>
      </w:r>
      <w:r w:rsidR="00CD6AAC" w:rsidRPr="002041D0">
        <w:rPr>
          <w:rFonts w:ascii="メイリオ" w:eastAsia="メイリオ" w:hAnsi="メイリオ" w:hint="eastAsia"/>
          <w:sz w:val="18"/>
          <w:szCs w:val="21"/>
        </w:rPr>
        <w:t>（該当日が休日に当たるときは、【前営業日</w:t>
      </w:r>
      <w:r w:rsidR="00CD6AAC" w:rsidRPr="002041D0">
        <w:rPr>
          <w:rFonts w:ascii="メイリオ" w:eastAsia="メイリオ" w:hAnsi="メイリオ"/>
          <w:sz w:val="18"/>
          <w:szCs w:val="21"/>
        </w:rPr>
        <w:t>/翌営業日】）</w:t>
      </w:r>
      <w:r w:rsidR="00A25D34" w:rsidRPr="002041D0">
        <w:rPr>
          <w:rFonts w:ascii="メイリオ" w:eastAsia="メイリオ" w:hAnsi="メイリオ" w:hint="eastAsia"/>
          <w:sz w:val="18"/>
          <w:szCs w:val="21"/>
        </w:rPr>
        <w:t>までに、</w:t>
      </w:r>
      <w:r w:rsidR="00AB2BA0" w:rsidRPr="002041D0">
        <w:rPr>
          <w:rFonts w:ascii="メイリオ" w:eastAsia="メイリオ" w:hAnsi="メイリオ" w:hint="eastAsia"/>
          <w:sz w:val="18"/>
          <w:szCs w:val="21"/>
        </w:rPr>
        <w:t>別紙</w:t>
      </w:r>
      <w:r w:rsidR="00CD6AAC" w:rsidRPr="002041D0">
        <w:rPr>
          <w:rFonts w:ascii="メイリオ" w:eastAsia="メイリオ" w:hAnsi="メイリオ" w:hint="eastAsia"/>
          <w:sz w:val="18"/>
          <w:szCs w:val="21"/>
        </w:rPr>
        <w:t>その他銀行が指定する様式を使用して</w:t>
      </w:r>
      <w:r w:rsidR="00E72DD5" w:rsidRPr="002041D0">
        <w:rPr>
          <w:rFonts w:ascii="メイリオ" w:eastAsia="メイリオ" w:hAnsi="メイリオ" w:hint="eastAsia"/>
          <w:sz w:val="18"/>
          <w:szCs w:val="21"/>
        </w:rPr>
        <w:t>銀行</w:t>
      </w:r>
      <w:r w:rsidR="00A25D34" w:rsidRPr="002041D0">
        <w:rPr>
          <w:rFonts w:ascii="メイリオ" w:eastAsia="メイリオ" w:hAnsi="メイリオ" w:hint="eastAsia"/>
          <w:sz w:val="18"/>
          <w:szCs w:val="21"/>
        </w:rPr>
        <w:t>に報告</w:t>
      </w:r>
      <w:r w:rsidR="00CD6AAC" w:rsidRPr="002041D0">
        <w:rPr>
          <w:rFonts w:ascii="メイリオ" w:eastAsia="メイリオ" w:hAnsi="メイリオ" w:hint="eastAsia"/>
          <w:sz w:val="18"/>
          <w:szCs w:val="21"/>
        </w:rPr>
        <w:t>します</w:t>
      </w:r>
      <w:r w:rsidR="00A25D34" w:rsidRPr="002041D0">
        <w:rPr>
          <w:rFonts w:ascii="メイリオ" w:eastAsia="メイリオ" w:hAnsi="メイリオ" w:hint="eastAsia"/>
          <w:sz w:val="18"/>
          <w:szCs w:val="21"/>
        </w:rPr>
        <w:t>。</w:t>
      </w:r>
      <w:r w:rsidR="00CD6AAC" w:rsidRPr="002041D0">
        <w:rPr>
          <w:rFonts w:ascii="メイリオ" w:eastAsia="メイリオ" w:hAnsi="メイリオ" w:hint="eastAsia"/>
          <w:sz w:val="18"/>
          <w:szCs w:val="21"/>
        </w:rPr>
        <w:t>なお、債務者から受領した本項に基づく報告について銀行が報告内容として不十分と判断した場合、債務者は銀行の指示に従い、追加情報の提出等の対応を行うものとします。</w:t>
      </w:r>
    </w:p>
    <w:p w:rsidR="0071555A" w:rsidRPr="002041D0" w:rsidRDefault="00CD6AAC" w:rsidP="00517A9A">
      <w:pPr>
        <w:pStyle w:val="a4"/>
        <w:numPr>
          <w:ilvl w:val="0"/>
          <w:numId w:val="2"/>
        </w:numPr>
        <w:pBdr>
          <w:bottom w:val="single" w:sz="6" w:space="1" w:color="auto"/>
        </w:pBdr>
        <w:tabs>
          <w:tab w:val="left" w:pos="600"/>
        </w:tabs>
        <w:rPr>
          <w:rFonts w:ascii="メイリオ" w:eastAsia="メイリオ" w:hAnsi="メイリオ"/>
          <w:sz w:val="16"/>
          <w:szCs w:val="21"/>
        </w:rPr>
      </w:pPr>
      <w:r w:rsidRPr="002041D0">
        <w:rPr>
          <w:rFonts w:ascii="メイリオ" w:eastAsia="メイリオ" w:hAnsi="メイリオ" w:hint="eastAsia"/>
          <w:sz w:val="18"/>
          <w:szCs w:val="21"/>
        </w:rPr>
        <w:t>銀行は、債務者から全額充当完了報告または前2項に基づく報告を受領した場合、遅滞なく、当該報告の内容を銀行が適切と考える方法で横浜市に共有するものとします。</w:t>
      </w:r>
    </w:p>
    <w:p w:rsidR="002041D0" w:rsidRPr="002041D0" w:rsidRDefault="002041D0" w:rsidP="00ED665B">
      <w:pPr>
        <w:pBdr>
          <w:bottom w:val="single" w:sz="6" w:space="1" w:color="auto"/>
        </w:pBdr>
        <w:tabs>
          <w:tab w:val="left" w:pos="600"/>
        </w:tabs>
        <w:rPr>
          <w:rFonts w:ascii="メイリオ" w:eastAsia="メイリオ" w:hAnsi="メイリオ"/>
          <w:sz w:val="18"/>
          <w:szCs w:val="21"/>
        </w:rPr>
      </w:pPr>
    </w:p>
    <w:p w:rsidR="00ED665B" w:rsidRPr="002041D0" w:rsidRDefault="00ED665B" w:rsidP="00ED665B">
      <w:pPr>
        <w:rPr>
          <w:rFonts w:ascii="メイリオ" w:eastAsia="メイリオ" w:hAnsi="メイリオ"/>
          <w:sz w:val="18"/>
          <w:szCs w:val="21"/>
        </w:rPr>
      </w:pPr>
      <w:r w:rsidRPr="002041D0">
        <w:rPr>
          <w:rFonts w:ascii="メイリオ" w:eastAsia="メイリオ" w:hAnsi="メイリオ" w:hint="eastAsia"/>
          <w:sz w:val="18"/>
          <w:szCs w:val="21"/>
        </w:rPr>
        <w:t>※上記はひな形です。融資先企業・対象金融機関の間で相談の上、本フレームワークに定める内容を順守し、適時適切にレポーティングが実施されるよう規定をしていただければ問題ございません。</w:t>
      </w:r>
    </w:p>
    <w:sectPr w:rsidR="00ED665B" w:rsidRPr="002041D0" w:rsidSect="00A25D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34" w:rsidRDefault="00A25D34" w:rsidP="00A25D34">
      <w:r>
        <w:separator/>
      </w:r>
    </w:p>
  </w:endnote>
  <w:endnote w:type="continuationSeparator" w:id="0">
    <w:p w:rsidR="00A25D34" w:rsidRDefault="00A25D34"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E0" w:rsidRDefault="00DD34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E0" w:rsidRDefault="00DD34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E0" w:rsidRDefault="00DD34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34" w:rsidRDefault="00A25D34" w:rsidP="00A25D34">
      <w:r>
        <w:separator/>
      </w:r>
    </w:p>
  </w:footnote>
  <w:footnote w:type="continuationSeparator" w:id="0">
    <w:p w:rsidR="00A25D34" w:rsidRDefault="00A25D34"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E0" w:rsidRDefault="00DD34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E0" w:rsidRDefault="00DD34E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34" w:rsidRPr="002041D0" w:rsidRDefault="00A25D34" w:rsidP="00A25D34">
    <w:pPr>
      <w:pStyle w:val="a5"/>
      <w:jc w:val="right"/>
      <w:rPr>
        <w:rFonts w:ascii="メイリオ" w:eastAsia="メイリオ" w:hAnsi="メイリオ"/>
        <w:sz w:val="20"/>
      </w:rPr>
    </w:pPr>
    <w:r w:rsidRPr="002041D0">
      <w:rPr>
        <w:rFonts w:ascii="メイリオ" w:eastAsia="メイリオ" w:hAnsi="メイリオ" w:hint="eastAsia"/>
        <w:sz w:val="20"/>
      </w:rPr>
      <w:t>（様式</w:t>
    </w:r>
    <w:r w:rsidR="00917525" w:rsidRPr="002041D0">
      <w:rPr>
        <w:rFonts w:ascii="メイリオ" w:eastAsia="メイリオ" w:hAnsi="メイリオ" w:hint="eastAsia"/>
        <w:sz w:val="20"/>
      </w:rPr>
      <w:t>7</w:t>
    </w:r>
    <w:r w:rsidRPr="002041D0">
      <w:rPr>
        <w:rFonts w:ascii="メイリオ" w:eastAsia="メイリオ" w:hAnsi="メイリオ"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876CA"/>
    <w:multiLevelType w:val="hybridMultilevel"/>
    <w:tmpl w:val="01E61FB6"/>
    <w:lvl w:ilvl="0" w:tplc="E4F4F718">
      <w:start w:val="1"/>
      <w:numFmt w:val="decimal"/>
      <w:lvlText w:val="(%1)"/>
      <w:lvlJc w:val="left"/>
      <w:pPr>
        <w:ind w:left="600" w:hanging="600"/>
      </w:pPr>
      <w:rPr>
        <w:rFonts w:hint="default"/>
        <w:b w:val="0"/>
        <w:bCs w:val="0"/>
      </w:rPr>
    </w:lvl>
    <w:lvl w:ilvl="1" w:tplc="096A9750" w:tentative="1">
      <w:start w:val="1"/>
      <w:numFmt w:val="aiueoFullWidth"/>
      <w:lvlText w:val="(%2)"/>
      <w:lvlJc w:val="left"/>
      <w:pPr>
        <w:ind w:left="840" w:hanging="420"/>
      </w:pPr>
    </w:lvl>
    <w:lvl w:ilvl="2" w:tplc="501A72BE" w:tentative="1">
      <w:start w:val="1"/>
      <w:numFmt w:val="decimalEnclosedCircle"/>
      <w:lvlText w:val="%3"/>
      <w:lvlJc w:val="left"/>
      <w:pPr>
        <w:ind w:left="1260" w:hanging="420"/>
      </w:pPr>
    </w:lvl>
    <w:lvl w:ilvl="3" w:tplc="77EC2D94" w:tentative="1">
      <w:start w:val="1"/>
      <w:numFmt w:val="decimal"/>
      <w:lvlText w:val="%4."/>
      <w:lvlJc w:val="left"/>
      <w:pPr>
        <w:ind w:left="1680" w:hanging="420"/>
      </w:pPr>
    </w:lvl>
    <w:lvl w:ilvl="4" w:tplc="ED244488" w:tentative="1">
      <w:start w:val="1"/>
      <w:numFmt w:val="aiueoFullWidth"/>
      <w:lvlText w:val="(%5)"/>
      <w:lvlJc w:val="left"/>
      <w:pPr>
        <w:ind w:left="2100" w:hanging="420"/>
      </w:pPr>
    </w:lvl>
    <w:lvl w:ilvl="5" w:tplc="76E47276" w:tentative="1">
      <w:start w:val="1"/>
      <w:numFmt w:val="decimalEnclosedCircle"/>
      <w:lvlText w:val="%6"/>
      <w:lvlJc w:val="left"/>
      <w:pPr>
        <w:ind w:left="2520" w:hanging="420"/>
      </w:pPr>
    </w:lvl>
    <w:lvl w:ilvl="6" w:tplc="88A0E6E8" w:tentative="1">
      <w:start w:val="1"/>
      <w:numFmt w:val="decimal"/>
      <w:lvlText w:val="%7."/>
      <w:lvlJc w:val="left"/>
      <w:pPr>
        <w:ind w:left="2940" w:hanging="420"/>
      </w:pPr>
    </w:lvl>
    <w:lvl w:ilvl="7" w:tplc="FB407B50" w:tentative="1">
      <w:start w:val="1"/>
      <w:numFmt w:val="aiueoFullWidth"/>
      <w:lvlText w:val="(%8)"/>
      <w:lvlJc w:val="left"/>
      <w:pPr>
        <w:ind w:left="3360" w:hanging="420"/>
      </w:pPr>
    </w:lvl>
    <w:lvl w:ilvl="8" w:tplc="17B4D7E2" w:tentative="1">
      <w:start w:val="1"/>
      <w:numFmt w:val="decimalEnclosedCircle"/>
      <w:lvlText w:val="%9"/>
      <w:lvlJc w:val="left"/>
      <w:pPr>
        <w:ind w:left="3780" w:hanging="420"/>
      </w:pPr>
    </w:lvl>
  </w:abstractNum>
  <w:abstractNum w:abstractNumId="1" w15:restartNumberingAfterBreak="0">
    <w:nsid w:val="632A15D4"/>
    <w:multiLevelType w:val="hybridMultilevel"/>
    <w:tmpl w:val="278A244C"/>
    <w:lvl w:ilvl="0" w:tplc="960CEA90">
      <w:start w:val="1"/>
      <w:numFmt w:val="decimal"/>
      <w:pStyle w:val="a"/>
      <w:lvlText w:val="第%1条"/>
      <w:lvlJc w:val="left"/>
      <w:pPr>
        <w:tabs>
          <w:tab w:val="num" w:pos="1000"/>
        </w:tabs>
        <w:ind w:left="1000" w:hanging="1000"/>
      </w:pPr>
      <w:rPr>
        <w:rFonts w:ascii="ＭＳ ゴシック" w:eastAsia="ＭＳ ゴシック" w:hAnsi="Times New Roman" w:hint="eastAsia"/>
        <w:b w:val="0"/>
        <w:i w:val="0"/>
        <w:sz w:val="20"/>
      </w:rPr>
    </w:lvl>
    <w:lvl w:ilvl="1" w:tplc="1EC4B636" w:tentative="1">
      <w:start w:val="1"/>
      <w:numFmt w:val="aiueoFullWidth"/>
      <w:lvlText w:val="(%2)"/>
      <w:lvlJc w:val="left"/>
      <w:pPr>
        <w:tabs>
          <w:tab w:val="num" w:pos="840"/>
        </w:tabs>
        <w:ind w:left="840" w:hanging="420"/>
      </w:pPr>
    </w:lvl>
    <w:lvl w:ilvl="2" w:tplc="B44A2230" w:tentative="1">
      <w:start w:val="1"/>
      <w:numFmt w:val="decimalEnclosedCircle"/>
      <w:lvlText w:val="%3"/>
      <w:lvlJc w:val="left"/>
      <w:pPr>
        <w:tabs>
          <w:tab w:val="num" w:pos="1260"/>
        </w:tabs>
        <w:ind w:left="1260" w:hanging="420"/>
      </w:pPr>
    </w:lvl>
    <w:lvl w:ilvl="3" w:tplc="E1D08F06" w:tentative="1">
      <w:start w:val="1"/>
      <w:numFmt w:val="decimal"/>
      <w:lvlText w:val="%4."/>
      <w:lvlJc w:val="left"/>
      <w:pPr>
        <w:tabs>
          <w:tab w:val="num" w:pos="1680"/>
        </w:tabs>
        <w:ind w:left="1680" w:hanging="420"/>
      </w:pPr>
    </w:lvl>
    <w:lvl w:ilvl="4" w:tplc="524CA438" w:tentative="1">
      <w:start w:val="1"/>
      <w:numFmt w:val="aiueoFullWidth"/>
      <w:lvlText w:val="(%5)"/>
      <w:lvlJc w:val="left"/>
      <w:pPr>
        <w:tabs>
          <w:tab w:val="num" w:pos="2100"/>
        </w:tabs>
        <w:ind w:left="2100" w:hanging="420"/>
      </w:pPr>
    </w:lvl>
    <w:lvl w:ilvl="5" w:tplc="80D2954C" w:tentative="1">
      <w:start w:val="1"/>
      <w:numFmt w:val="decimalEnclosedCircle"/>
      <w:lvlText w:val="%6"/>
      <w:lvlJc w:val="left"/>
      <w:pPr>
        <w:tabs>
          <w:tab w:val="num" w:pos="2520"/>
        </w:tabs>
        <w:ind w:left="2520" w:hanging="420"/>
      </w:pPr>
    </w:lvl>
    <w:lvl w:ilvl="6" w:tplc="ECD2E150" w:tentative="1">
      <w:start w:val="1"/>
      <w:numFmt w:val="decimal"/>
      <w:lvlText w:val="%7."/>
      <w:lvlJc w:val="left"/>
      <w:pPr>
        <w:tabs>
          <w:tab w:val="num" w:pos="2940"/>
        </w:tabs>
        <w:ind w:left="2940" w:hanging="420"/>
      </w:pPr>
    </w:lvl>
    <w:lvl w:ilvl="7" w:tplc="5BD8DA72" w:tentative="1">
      <w:start w:val="1"/>
      <w:numFmt w:val="aiueoFullWidth"/>
      <w:lvlText w:val="(%8)"/>
      <w:lvlJc w:val="left"/>
      <w:pPr>
        <w:tabs>
          <w:tab w:val="num" w:pos="3360"/>
        </w:tabs>
        <w:ind w:left="3360" w:hanging="420"/>
      </w:pPr>
    </w:lvl>
    <w:lvl w:ilvl="8" w:tplc="EF729DC4"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34"/>
    <w:rsid w:val="000F57BA"/>
    <w:rsid w:val="0015535E"/>
    <w:rsid w:val="002041D0"/>
    <w:rsid w:val="0021204F"/>
    <w:rsid w:val="00241ED4"/>
    <w:rsid w:val="003E75C7"/>
    <w:rsid w:val="00406364"/>
    <w:rsid w:val="004278A2"/>
    <w:rsid w:val="00436C46"/>
    <w:rsid w:val="00517A9A"/>
    <w:rsid w:val="005F0EE7"/>
    <w:rsid w:val="006A45FC"/>
    <w:rsid w:val="0071555A"/>
    <w:rsid w:val="00813845"/>
    <w:rsid w:val="008A2291"/>
    <w:rsid w:val="008B44E2"/>
    <w:rsid w:val="00917525"/>
    <w:rsid w:val="00A25D34"/>
    <w:rsid w:val="00AB2BA0"/>
    <w:rsid w:val="00AD1F72"/>
    <w:rsid w:val="00BE37EF"/>
    <w:rsid w:val="00CD577A"/>
    <w:rsid w:val="00CD6AAC"/>
    <w:rsid w:val="00D42552"/>
    <w:rsid w:val="00DD34E0"/>
    <w:rsid w:val="00E309F8"/>
    <w:rsid w:val="00E72DD5"/>
    <w:rsid w:val="00ED665B"/>
    <w:rsid w:val="00F90F1F"/>
    <w:rsid w:val="00FD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番号"/>
    <w:basedOn w:val="a0"/>
    <w:next w:val="a0"/>
    <w:rsid w:val="00A25D34"/>
    <w:pPr>
      <w:keepNext/>
      <w:numPr>
        <w:numId w:val="1"/>
      </w:numPr>
      <w:spacing w:before="240" w:after="120"/>
      <w:outlineLvl w:val="0"/>
    </w:pPr>
    <w:rPr>
      <w:rFonts w:ascii="ＭＳ ゴシック" w:eastAsia="ＭＳ ゴシック" w:hAnsi="ＭＳ ゴシック" w:cs="Times New Roman"/>
      <w:sz w:val="20"/>
      <w:szCs w:val="24"/>
    </w:rPr>
  </w:style>
  <w:style w:type="paragraph" w:styleId="a4">
    <w:name w:val="List Paragraph"/>
    <w:basedOn w:val="a0"/>
    <w:uiPriority w:val="34"/>
    <w:qFormat/>
    <w:rsid w:val="00A25D34"/>
    <w:pPr>
      <w:ind w:left="840"/>
    </w:pPr>
    <w:rPr>
      <w:rFonts w:ascii="ＭＳ 明朝" w:eastAsia="ＭＳ 明朝" w:hAnsi="Times New Roman" w:cs="Times New Roman"/>
      <w:sz w:val="20"/>
      <w:szCs w:val="24"/>
    </w:rPr>
  </w:style>
  <w:style w:type="paragraph" w:styleId="a5">
    <w:name w:val="header"/>
    <w:basedOn w:val="a0"/>
    <w:link w:val="a6"/>
    <w:uiPriority w:val="99"/>
    <w:unhideWhenUsed/>
    <w:rsid w:val="00A25D34"/>
    <w:pPr>
      <w:tabs>
        <w:tab w:val="center" w:pos="4252"/>
        <w:tab w:val="right" w:pos="8504"/>
      </w:tabs>
      <w:snapToGrid w:val="0"/>
    </w:pPr>
  </w:style>
  <w:style w:type="character" w:customStyle="1" w:styleId="a6">
    <w:name w:val="ヘッダー (文字)"/>
    <w:basedOn w:val="a1"/>
    <w:link w:val="a5"/>
    <w:uiPriority w:val="99"/>
    <w:rsid w:val="00A25D34"/>
  </w:style>
  <w:style w:type="paragraph" w:styleId="a7">
    <w:name w:val="footer"/>
    <w:basedOn w:val="a0"/>
    <w:link w:val="a8"/>
    <w:uiPriority w:val="99"/>
    <w:unhideWhenUsed/>
    <w:rsid w:val="00A25D34"/>
    <w:pPr>
      <w:tabs>
        <w:tab w:val="center" w:pos="4252"/>
        <w:tab w:val="right" w:pos="8504"/>
      </w:tabs>
      <w:snapToGrid w:val="0"/>
    </w:pPr>
  </w:style>
  <w:style w:type="character" w:customStyle="1" w:styleId="a8">
    <w:name w:val="フッター (文字)"/>
    <w:basedOn w:val="a1"/>
    <w:link w:val="a7"/>
    <w:uiPriority w:val="99"/>
    <w:rsid w:val="00A25D34"/>
  </w:style>
  <w:style w:type="paragraph" w:styleId="a9">
    <w:name w:val="Balloon Text"/>
    <w:basedOn w:val="a0"/>
    <w:link w:val="aa"/>
    <w:uiPriority w:val="99"/>
    <w:semiHidden/>
    <w:unhideWhenUsed/>
    <w:rsid w:val="006A45F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6A4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2025-03-24T06:40:00Z</dcterms:created>
  <dcterms:modified xsi:type="dcterms:W3CDTF">2025-03-24T06:40:00Z</dcterms:modified>
</cp:coreProperties>
</file>