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5E51F592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横浜市</w:t>
      </w:r>
      <w:r w:rsidR="00857BC1" w:rsidRPr="00857BC1">
        <w:rPr>
          <w:rFonts w:ascii="ＭＳ ゴシック" w:eastAsia="ＭＳ ゴシック" w:hAnsi="ＭＳ ゴシック" w:hint="eastAsia"/>
          <w:sz w:val="32"/>
        </w:rPr>
        <w:t>生麦</w:t>
      </w:r>
      <w:r w:rsidRPr="00857BC1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857BC1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857BC1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857BC1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857BC1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857BC1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57BC1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2024-11-05T02:06:00Z</dcterms:modified>
</cp:coreProperties>
</file>